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ascii="宋体" w:hAnsi="宋体" w:eastAsia="宋体"/>
          <w:color w:val="555555"/>
          <w:sz w:val="36"/>
          <w:szCs w:val="36"/>
        </w:rPr>
      </w:pPr>
      <w:r>
        <w:rPr>
          <w:rStyle w:val="7"/>
          <w:rFonts w:hint="eastAsia" w:ascii="MS Gothic" w:hAnsi="MS Gothic" w:eastAsia="MS Gothic" w:cs="MS Gothic"/>
          <w:color w:val="555555"/>
          <w:sz w:val="36"/>
          <w:szCs w:val="36"/>
        </w:rPr>
        <w:t>​</w:t>
      </w:r>
      <w:r>
        <w:rPr>
          <w:rStyle w:val="7"/>
          <w:rFonts w:hint="eastAsia" w:ascii="宋体" w:hAnsi="宋体" w:eastAsia="宋体" w:cs="等线"/>
          <w:color w:val="555555"/>
          <w:sz w:val="36"/>
          <w:szCs w:val="36"/>
        </w:rPr>
        <w:t>江西科技师范大</w:t>
      </w:r>
      <w:r>
        <w:rPr>
          <w:rStyle w:val="7"/>
          <w:rFonts w:hint="eastAsia" w:ascii="宋体" w:hAnsi="宋体" w:eastAsia="宋体"/>
          <w:color w:val="555555"/>
          <w:sz w:val="36"/>
          <w:szCs w:val="36"/>
        </w:rPr>
        <w:t>学</w:t>
      </w:r>
      <w:r>
        <w:rPr>
          <w:rStyle w:val="7"/>
          <w:rFonts w:ascii="宋体" w:hAnsi="宋体" w:eastAsia="宋体" w:cs="Calibri"/>
          <w:color w:val="555555"/>
          <w:sz w:val="36"/>
          <w:szCs w:val="36"/>
        </w:rPr>
        <w:t>2024</w:t>
      </w:r>
      <w:r>
        <w:rPr>
          <w:rStyle w:val="7"/>
          <w:rFonts w:hint="eastAsia" w:ascii="宋体" w:hAnsi="宋体" w:eastAsia="宋体"/>
          <w:color w:val="555555"/>
          <w:sz w:val="36"/>
          <w:szCs w:val="36"/>
        </w:rPr>
        <w:t>年博士人才招聘公告</w:t>
      </w:r>
    </w:p>
    <w:p>
      <w:pPr>
        <w:pStyle w:val="4"/>
        <w:spacing w:before="156" w:beforeLines="50" w:beforeAutospacing="0" w:after="0" w:afterAutospacing="0" w:line="315" w:lineRule="atLeast"/>
        <w:rPr>
          <w:color w:val="555555"/>
          <w:sz w:val="21"/>
          <w:szCs w:val="21"/>
        </w:rPr>
      </w:pPr>
      <w:r>
        <w:rPr>
          <w:rStyle w:val="7"/>
          <w:rFonts w:hint="eastAsia"/>
          <w:color w:val="555555"/>
        </w:rPr>
        <w:t>一、招聘单位简介</w:t>
      </w:r>
      <w:r>
        <w:rPr>
          <w:rStyle w:val="7"/>
          <w:rFonts w:ascii="Arial" w:hAnsi="Arial" w:cs="Arial"/>
          <w:color w:val="555555"/>
        </w:rPr>
        <w:t> </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江西科技师范大学坐落于享有“物华天宝、人杰地灵”盛誉的历史文化名城、“军旗升起的地方”—江西省南昌市，是教育部重点建设的培养职业教育师资的公办多科性本科院校、全国职业教育研究的重要基地、全国职业教育师资培养培训重点建设基地、全国最早独立设置的八所职业技术师范院校之一，是江西省公费师范生培养高校。主要有枫林、红角洲两个校区，占地面积2159亩，在校生达28000余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现有硕士学位授权一级学科14个，拥有硕士专业学位授权类别16个。拥有ESI世界排名前1%学科2个（化学、材料学），省十四五“双一流”立项建设潜力学科2个（教育学、化学），省高水平学科1个（设计学）。现有61个本科专业招生，涉及有教育学、理学、工学、管理学、艺术学、经济学、文学、历史学、法学等10个学科门类，13个本科专业实现一本招生。拥有国家特色专业建设点2个和国家级一流本科建设点9个，省级一流专业建设点27个，省级特色及品牌专业18个。省级教学团队16个，省级教学实验教学示范中心5个，省级精品类、课程思政师范类等课程103项。建有省2011协同创新中心1个、省高校高水平创新平台311工程中心1个、省级重点实验室6个、省发改委工程研究中心3个、省高校工程技术研究中心2个、省高校人文社会科学重点研究基地3个、省哲学社会科学重点研究基地2个、省软科学研究基地1个、省文化艺术科学重点研究基地1个、省非物质文化遗产研究基地1个、省科协智库研究基地1个、省科研创新团队3个；建有博士后科研工作站 1 个，被评为全国优秀博士后科研工作站。</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现有教职工1776人，其中专任教师1488人，副高级以上专业技术职务人员639人，具有博士学位教师504人。享受政府特殊津贴专家15人、国家“百千万人才工程”人选1人、教育部“新世纪优秀人才支持计划”人选1人、中央宣传部“宣传思想文化青年英才”1人、全国优秀教师2人、大国·工匠1人、全国青年岗位能手1人、省“双千计划”人选（“赣鄱英才555工程”人选）18人、“赣鄱俊才支持计划各子项目入选者”46人（含“井冈学者”12人、省主要学科学术和技术带头人8人、省高层次高技能领军人才3人、省百千万人才工程23人等）、省“杰出青年人才资助计划”人选5人、省优秀高技能人才（江西省能工巧匠）1人、省青年科学家1人、省“青年科学家（井冈之星）培养对象计划”人选10人、省教学名师6人、省模范教师5人、省金牌研究生导师1人、省金牌教授1人、省金牌青年教师2人、省中青年学科带头人32人、省高校中青年骨干教师89人等省部级以上优秀人才239人次。</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学校恪守“明德精业”的校训规范，紧跟教育现代化步伐，促进师生全面发展，服务地方经济社会建设，致力于建设建成全国一流职业技术师范大学。热诚欢迎海内外各类优秀人才加盟我校，携手事业发展，共创美好未来。</w:t>
      </w:r>
    </w:p>
    <w:p>
      <w:pPr>
        <w:widowControl/>
        <w:spacing w:before="156" w:beforeLines="50" w:line="315" w:lineRule="atLeast"/>
        <w:jc w:val="left"/>
        <w:rPr>
          <w:rFonts w:ascii="宋体" w:hAnsi="宋体" w:eastAsia="宋体" w:cs="宋体"/>
          <w:color w:val="555555"/>
          <w:kern w:val="0"/>
          <w:szCs w:val="21"/>
          <w14:ligatures w14:val="none"/>
        </w:rPr>
      </w:pPr>
      <w:r>
        <w:rPr>
          <w:rFonts w:hint="eastAsia" w:ascii="宋体" w:hAnsi="宋体" w:eastAsia="宋体" w:cs="宋体"/>
          <w:b/>
          <w:bCs/>
          <w:color w:val="555555"/>
          <w:kern w:val="0"/>
          <w:sz w:val="24"/>
          <w:szCs w:val="24"/>
          <w14:ligatures w14:val="none"/>
        </w:rPr>
        <w:t>二、招聘计划</w:t>
      </w:r>
    </w:p>
    <w:tbl>
      <w:tblPr>
        <w:tblStyle w:val="5"/>
        <w:tblW w:w="8060" w:type="dxa"/>
        <w:tblInd w:w="0" w:type="dxa"/>
        <w:tblLayout w:type="autofit"/>
        <w:tblCellMar>
          <w:top w:w="0" w:type="dxa"/>
          <w:left w:w="0" w:type="dxa"/>
          <w:bottom w:w="0" w:type="dxa"/>
          <w:right w:w="0" w:type="dxa"/>
        </w:tblCellMar>
      </w:tblPr>
      <w:tblGrid>
        <w:gridCol w:w="486"/>
        <w:gridCol w:w="1026"/>
        <w:gridCol w:w="803"/>
        <w:gridCol w:w="2845"/>
        <w:gridCol w:w="527"/>
        <w:gridCol w:w="2373"/>
      </w:tblGrid>
      <w:tr>
        <w:tblPrEx>
          <w:tblCellMar>
            <w:top w:w="0" w:type="dxa"/>
            <w:left w:w="0" w:type="dxa"/>
            <w:bottom w:w="0" w:type="dxa"/>
            <w:right w:w="0" w:type="dxa"/>
          </w:tblCellMar>
        </w:tblPrEx>
        <w:trPr>
          <w:trHeight w:val="148" w:hRule="atLeast"/>
        </w:trPr>
        <w:tc>
          <w:tcPr>
            <w:tcW w:w="48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MS Gothic" w:hAnsi="MS Gothic" w:eastAsia="MS Gothic" w:cs="MS Gothic"/>
                <w:color w:val="555555"/>
                <w:kern w:val="0"/>
                <w:sz w:val="15"/>
                <w:szCs w:val="15"/>
                <w14:ligatures w14:val="none"/>
              </w:rPr>
              <w:t>​</w:t>
            </w:r>
            <w:r>
              <w:rPr>
                <w:rFonts w:hint="eastAsia" w:ascii="宋体" w:hAnsi="宋体" w:eastAsia="宋体" w:cs="宋体"/>
                <w:color w:val="555555"/>
                <w:kern w:val="0"/>
                <w:sz w:val="15"/>
                <w:szCs w:val="15"/>
                <w14:ligatures w14:val="none"/>
              </w:rPr>
              <w:t>序号</w:t>
            </w:r>
          </w:p>
        </w:tc>
        <w:tc>
          <w:tcPr>
            <w:tcW w:w="10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单位</w:t>
            </w:r>
          </w:p>
        </w:tc>
        <w:tc>
          <w:tcPr>
            <w:tcW w:w="80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岗位</w:t>
            </w:r>
            <w:r>
              <w:rPr>
                <w:rFonts w:hint="eastAsia" w:ascii="宋体" w:hAnsi="宋体" w:eastAsia="宋体" w:cs="宋体"/>
                <w:color w:val="555555"/>
                <w:kern w:val="0"/>
                <w:sz w:val="15"/>
                <w:szCs w:val="15"/>
                <w14:ligatures w14:val="none"/>
              </w:rPr>
              <w:br w:type="textWrapping"/>
            </w:r>
            <w:r>
              <w:rPr>
                <w:rFonts w:hint="eastAsia" w:ascii="宋体" w:hAnsi="宋体" w:eastAsia="宋体" w:cs="宋体"/>
                <w:color w:val="555555"/>
                <w:kern w:val="0"/>
                <w:sz w:val="15"/>
                <w:szCs w:val="15"/>
                <w14:ligatures w14:val="none"/>
              </w:rPr>
              <w:t>类别</w:t>
            </w:r>
          </w:p>
        </w:tc>
        <w:tc>
          <w:tcPr>
            <w:tcW w:w="284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学科或专业需求</w:t>
            </w:r>
          </w:p>
        </w:tc>
        <w:tc>
          <w:tcPr>
            <w:tcW w:w="52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需求数量</w:t>
            </w:r>
          </w:p>
        </w:tc>
        <w:tc>
          <w:tcPr>
            <w:tcW w:w="2373"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联系人及联系方式</w:t>
            </w:r>
          </w:p>
        </w:tc>
      </w:tr>
      <w:tr>
        <w:tblPrEx>
          <w:tblCellMar>
            <w:top w:w="0" w:type="dxa"/>
            <w:left w:w="0" w:type="dxa"/>
            <w:bottom w:w="0" w:type="dxa"/>
            <w:right w:w="0" w:type="dxa"/>
          </w:tblCellMar>
        </w:tblPrEx>
        <w:trPr>
          <w:trHeight w:val="125" w:hRule="atLeast"/>
        </w:trPr>
        <w:tc>
          <w:tcPr>
            <w:tcW w:w="486" w:type="dxa"/>
            <w:vMerge w:val="restart"/>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w:t>
            </w:r>
          </w:p>
        </w:tc>
        <w:tc>
          <w:tcPr>
            <w:tcW w:w="1026"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文学院</w:t>
            </w:r>
          </w:p>
        </w:tc>
        <w:tc>
          <w:tcPr>
            <w:tcW w:w="80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中国语言文学</w:t>
            </w:r>
          </w:p>
        </w:tc>
        <w:tc>
          <w:tcPr>
            <w:tcW w:w="527"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10</w:t>
            </w:r>
          </w:p>
        </w:tc>
        <w:tc>
          <w:tcPr>
            <w:tcW w:w="237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陈绪平(83831263  18942345166)</w:t>
            </w:r>
          </w:p>
        </w:tc>
      </w:tr>
      <w:tr>
        <w:tblPrEx>
          <w:tblCellMar>
            <w:top w:w="0" w:type="dxa"/>
            <w:left w:w="0" w:type="dxa"/>
            <w:bottom w:w="0" w:type="dxa"/>
            <w:right w:w="0" w:type="dxa"/>
          </w:tblCellMar>
        </w:tblPrEx>
        <w:trPr>
          <w:trHeight w:val="125"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汉语国际教育</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25"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新闻传播学</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25"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戏剧与影视学</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25"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艺术学理论类</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94" w:hRule="atLeast"/>
        </w:trPr>
        <w:tc>
          <w:tcPr>
            <w:tcW w:w="486" w:type="dxa"/>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2</w:t>
            </w:r>
          </w:p>
        </w:tc>
        <w:tc>
          <w:tcPr>
            <w:tcW w:w="1026"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旅游与历史文化学院</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企业管理（含∶财务管理、市场营销、人力资源管理）、旅游管理、课程与教学论、中国史、工商管理</w:t>
            </w:r>
          </w:p>
        </w:tc>
        <w:tc>
          <w:tcPr>
            <w:tcW w:w="5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10</w:t>
            </w:r>
          </w:p>
        </w:tc>
        <w:tc>
          <w:tcPr>
            <w:tcW w:w="237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黄军(13576982086)</w:t>
            </w:r>
          </w:p>
        </w:tc>
      </w:tr>
      <w:tr>
        <w:tblPrEx>
          <w:tblCellMar>
            <w:top w:w="0" w:type="dxa"/>
            <w:left w:w="0" w:type="dxa"/>
            <w:bottom w:w="0" w:type="dxa"/>
            <w:right w:w="0" w:type="dxa"/>
          </w:tblCellMar>
        </w:tblPrEx>
        <w:trPr>
          <w:trHeight w:val="143" w:hRule="atLeast"/>
        </w:trPr>
        <w:tc>
          <w:tcPr>
            <w:tcW w:w="486" w:type="dxa"/>
            <w:vMerge w:val="restart"/>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3</w:t>
            </w:r>
          </w:p>
        </w:tc>
        <w:tc>
          <w:tcPr>
            <w:tcW w:w="1026"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外国语学院</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英语语言文学、外国语言学及应用语言学</w:t>
            </w:r>
          </w:p>
        </w:tc>
        <w:tc>
          <w:tcPr>
            <w:tcW w:w="527"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8</w:t>
            </w:r>
          </w:p>
        </w:tc>
        <w:tc>
          <w:tcPr>
            <w:tcW w:w="237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吴昊(18770095915)</w:t>
            </w:r>
          </w:p>
        </w:tc>
      </w:tr>
      <w:tr>
        <w:tblPrEx>
          <w:tblCellMar>
            <w:top w:w="0" w:type="dxa"/>
            <w:left w:w="0" w:type="dxa"/>
            <w:bottom w:w="0" w:type="dxa"/>
            <w:right w:w="0" w:type="dxa"/>
          </w:tblCellMar>
        </w:tblPrEx>
        <w:trPr>
          <w:trHeight w:val="148"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科研为主岗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法语语言文学、外国语言学及应用语言学</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360" w:hRule="atLeast"/>
        </w:trPr>
        <w:tc>
          <w:tcPr>
            <w:tcW w:w="486" w:type="dxa"/>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4</w:t>
            </w:r>
          </w:p>
        </w:tc>
        <w:tc>
          <w:tcPr>
            <w:tcW w:w="1026"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经济管理与法学院(MBA教育中心)</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工商管理、管理科学与工程（可授管理学、工学学位）、应用经济学、计算机科学与技术（可授工学、理学学位）、软件工程、数学、统计学（可授理学、经济学学位）、公共卫生与预防医学（可授医学、理学学位）、理论经济学、公共管理</w:t>
            </w:r>
          </w:p>
        </w:tc>
        <w:tc>
          <w:tcPr>
            <w:tcW w:w="5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9</w:t>
            </w:r>
          </w:p>
        </w:tc>
        <w:tc>
          <w:tcPr>
            <w:tcW w:w="237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徐自生(13970050325)</w:t>
            </w:r>
          </w:p>
        </w:tc>
      </w:tr>
      <w:tr>
        <w:tblPrEx>
          <w:tblCellMar>
            <w:top w:w="0" w:type="dxa"/>
            <w:left w:w="0" w:type="dxa"/>
            <w:bottom w:w="0" w:type="dxa"/>
            <w:right w:w="0" w:type="dxa"/>
          </w:tblCellMar>
        </w:tblPrEx>
        <w:trPr>
          <w:trHeight w:val="143" w:hRule="atLeast"/>
        </w:trPr>
        <w:tc>
          <w:tcPr>
            <w:tcW w:w="486" w:type="dxa"/>
            <w:vMerge w:val="restart"/>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5</w:t>
            </w:r>
          </w:p>
        </w:tc>
        <w:tc>
          <w:tcPr>
            <w:tcW w:w="1026"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教育学部</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教育学、教育经济与管理（可授管理学、教育学学位）、心理学（可授教育学、理学学位）</w:t>
            </w:r>
          </w:p>
        </w:tc>
        <w:tc>
          <w:tcPr>
            <w:tcW w:w="527"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16</w:t>
            </w:r>
          </w:p>
        </w:tc>
        <w:tc>
          <w:tcPr>
            <w:tcW w:w="237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易安雯(18970908251)</w:t>
            </w:r>
          </w:p>
        </w:tc>
      </w:tr>
      <w:tr>
        <w:tblPrEx>
          <w:tblCellMar>
            <w:top w:w="0" w:type="dxa"/>
            <w:left w:w="0" w:type="dxa"/>
            <w:bottom w:w="0" w:type="dxa"/>
            <w:right w:w="0" w:type="dxa"/>
          </w:tblCellMar>
        </w:tblPrEx>
        <w:trPr>
          <w:trHeight w:val="143"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80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教辅岗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历史地理学</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43"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民俗学（含∶中国民间文学）</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43"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教育学</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52" w:hRule="atLeast"/>
        </w:trPr>
        <w:tc>
          <w:tcPr>
            <w:tcW w:w="486" w:type="dxa"/>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6</w:t>
            </w:r>
          </w:p>
        </w:tc>
        <w:tc>
          <w:tcPr>
            <w:tcW w:w="1026"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马克思主义学院</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马克思主义理论</w:t>
            </w:r>
          </w:p>
        </w:tc>
        <w:tc>
          <w:tcPr>
            <w:tcW w:w="5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9</w:t>
            </w:r>
          </w:p>
        </w:tc>
        <w:tc>
          <w:tcPr>
            <w:tcW w:w="237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李建强(17770065319)</w:t>
            </w:r>
          </w:p>
        </w:tc>
      </w:tr>
      <w:tr>
        <w:tblPrEx>
          <w:tblCellMar>
            <w:top w:w="0" w:type="dxa"/>
            <w:left w:w="0" w:type="dxa"/>
            <w:bottom w:w="0" w:type="dxa"/>
            <w:right w:w="0" w:type="dxa"/>
          </w:tblCellMar>
        </w:tblPrEx>
        <w:trPr>
          <w:trHeight w:val="152" w:hRule="atLeast"/>
        </w:trPr>
        <w:tc>
          <w:tcPr>
            <w:tcW w:w="486" w:type="dxa"/>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7</w:t>
            </w:r>
          </w:p>
        </w:tc>
        <w:tc>
          <w:tcPr>
            <w:tcW w:w="1026"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美术学院</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美术学类、设计学（可授艺术学、工学学位）</w:t>
            </w:r>
          </w:p>
        </w:tc>
        <w:tc>
          <w:tcPr>
            <w:tcW w:w="5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11</w:t>
            </w:r>
          </w:p>
        </w:tc>
        <w:tc>
          <w:tcPr>
            <w:tcW w:w="237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徐光达(13170869565)</w:t>
            </w:r>
          </w:p>
        </w:tc>
      </w:tr>
      <w:tr>
        <w:tblPrEx>
          <w:tblCellMar>
            <w:top w:w="0" w:type="dxa"/>
            <w:left w:w="0" w:type="dxa"/>
            <w:bottom w:w="0" w:type="dxa"/>
            <w:right w:w="0" w:type="dxa"/>
          </w:tblCellMar>
        </w:tblPrEx>
        <w:trPr>
          <w:trHeight w:val="152" w:hRule="atLeast"/>
        </w:trPr>
        <w:tc>
          <w:tcPr>
            <w:tcW w:w="486" w:type="dxa"/>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8</w:t>
            </w:r>
          </w:p>
        </w:tc>
        <w:tc>
          <w:tcPr>
            <w:tcW w:w="1026"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体育与健康学院</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体育学</w:t>
            </w:r>
          </w:p>
        </w:tc>
        <w:tc>
          <w:tcPr>
            <w:tcW w:w="5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8</w:t>
            </w:r>
          </w:p>
        </w:tc>
        <w:tc>
          <w:tcPr>
            <w:tcW w:w="237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邓艺华(13970943602)</w:t>
            </w:r>
          </w:p>
        </w:tc>
      </w:tr>
      <w:tr>
        <w:tblPrEx>
          <w:tblCellMar>
            <w:top w:w="0" w:type="dxa"/>
            <w:left w:w="0" w:type="dxa"/>
            <w:bottom w:w="0" w:type="dxa"/>
            <w:right w:w="0" w:type="dxa"/>
          </w:tblCellMar>
        </w:tblPrEx>
        <w:trPr>
          <w:trHeight w:val="152" w:hRule="atLeast"/>
        </w:trPr>
        <w:tc>
          <w:tcPr>
            <w:tcW w:w="486" w:type="dxa"/>
            <w:vMerge w:val="restart"/>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9</w:t>
            </w:r>
          </w:p>
        </w:tc>
        <w:tc>
          <w:tcPr>
            <w:tcW w:w="1026"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大数据科学学院</w:t>
            </w:r>
          </w:p>
        </w:tc>
        <w:tc>
          <w:tcPr>
            <w:tcW w:w="80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基础数学、计算数学、概率论与数理统计、应用数学、运筹学与控制论</w:t>
            </w:r>
          </w:p>
        </w:tc>
        <w:tc>
          <w:tcPr>
            <w:tcW w:w="527"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13</w:t>
            </w:r>
          </w:p>
        </w:tc>
        <w:tc>
          <w:tcPr>
            <w:tcW w:w="237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刘招(18720078613）</w:t>
            </w:r>
          </w:p>
        </w:tc>
      </w:tr>
      <w:tr>
        <w:tblPrEx>
          <w:tblCellMar>
            <w:top w:w="0" w:type="dxa"/>
            <w:left w:w="0" w:type="dxa"/>
            <w:bottom w:w="0" w:type="dxa"/>
            <w:right w:w="0" w:type="dxa"/>
          </w:tblCellMar>
        </w:tblPrEx>
        <w:trPr>
          <w:trHeight w:val="152"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计算机应用技术、计算机软件与理论、计算机系统结构</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52" w:hRule="atLeast"/>
        </w:trPr>
        <w:tc>
          <w:tcPr>
            <w:tcW w:w="486" w:type="dxa"/>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10</w:t>
            </w:r>
          </w:p>
        </w:tc>
        <w:tc>
          <w:tcPr>
            <w:tcW w:w="1026"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音乐学院</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音乐学、舞蹈学</w:t>
            </w:r>
          </w:p>
        </w:tc>
        <w:tc>
          <w:tcPr>
            <w:tcW w:w="5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7</w:t>
            </w:r>
          </w:p>
        </w:tc>
        <w:tc>
          <w:tcPr>
            <w:tcW w:w="237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郭紫峰(18970933789)</w:t>
            </w:r>
          </w:p>
        </w:tc>
      </w:tr>
      <w:tr>
        <w:tblPrEx>
          <w:tblCellMar>
            <w:top w:w="0" w:type="dxa"/>
            <w:left w:w="0" w:type="dxa"/>
            <w:bottom w:w="0" w:type="dxa"/>
            <w:right w:w="0" w:type="dxa"/>
          </w:tblCellMar>
        </w:tblPrEx>
        <w:trPr>
          <w:trHeight w:val="178" w:hRule="atLeast"/>
        </w:trPr>
        <w:tc>
          <w:tcPr>
            <w:tcW w:w="486" w:type="dxa"/>
            <w:vMerge w:val="restart"/>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11</w:t>
            </w:r>
          </w:p>
        </w:tc>
        <w:tc>
          <w:tcPr>
            <w:tcW w:w="1026"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化学化工学院</w:t>
            </w:r>
          </w:p>
        </w:tc>
        <w:tc>
          <w:tcPr>
            <w:tcW w:w="80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化学、材料科学与工程（可授工学、理学学位）、化学工程与技术、环境科学与工程（可授工学、理学、农学学位）</w:t>
            </w:r>
          </w:p>
        </w:tc>
        <w:tc>
          <w:tcPr>
            <w:tcW w:w="527"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17</w:t>
            </w:r>
          </w:p>
        </w:tc>
        <w:tc>
          <w:tcPr>
            <w:tcW w:w="237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刘峰(13576295727)</w:t>
            </w:r>
          </w:p>
        </w:tc>
      </w:tr>
      <w:tr>
        <w:tblPrEx>
          <w:tblCellMar>
            <w:top w:w="0" w:type="dxa"/>
            <w:left w:w="0" w:type="dxa"/>
            <w:bottom w:w="0" w:type="dxa"/>
            <w:right w:w="0" w:type="dxa"/>
          </w:tblCellMar>
        </w:tblPrEx>
        <w:trPr>
          <w:trHeight w:val="360"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化学、教育学类、地球化学、生物学、材料科学与工程（可授工学、理学学位）、化学工程与技术、环境科学与工程（可授工学、理学、农学学位）、冶金工程、农业资源与环境、轻工技术与工程、系统科学、矿业工程、纺织科学与工程、学科教学(化学)</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356"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化学、教育学类、地球化学、生物学、化学工程与技术、材料科学与工程（可授工学、理学学位）、冶金工程、农业资源与环境、轻工技术与工程、系统科学、矿业工程、纺织科学与工程、学科教学(化学)、环境科学与工程（可授工学、理学、农学学位）</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297" w:hRule="atLeast"/>
        </w:trPr>
        <w:tc>
          <w:tcPr>
            <w:tcW w:w="486" w:type="dxa"/>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12</w:t>
            </w:r>
          </w:p>
        </w:tc>
        <w:tc>
          <w:tcPr>
            <w:tcW w:w="1026"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信息与机电工程学院</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电子科学与技术（可授工学、理学学位）、控制科学与工程、计算机科学与技术（可授工学、理学学位）、信息与通信工程、电气工程、物理学、仪器科学与技术、机械工程、材料科学与工程（可授工学、理学学位）、仪器科学与技术</w:t>
            </w:r>
          </w:p>
        </w:tc>
        <w:tc>
          <w:tcPr>
            <w:tcW w:w="5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17</w:t>
            </w:r>
          </w:p>
        </w:tc>
        <w:tc>
          <w:tcPr>
            <w:tcW w:w="237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罗强(13576918019)</w:t>
            </w:r>
          </w:p>
        </w:tc>
      </w:tr>
      <w:tr>
        <w:tblPrEx>
          <w:tblCellMar>
            <w:top w:w="0" w:type="dxa"/>
            <w:left w:w="0" w:type="dxa"/>
            <w:bottom w:w="0" w:type="dxa"/>
            <w:right w:w="0" w:type="dxa"/>
          </w:tblCellMar>
        </w:tblPrEx>
        <w:trPr>
          <w:trHeight w:val="125" w:hRule="atLeast"/>
        </w:trPr>
        <w:tc>
          <w:tcPr>
            <w:tcW w:w="486" w:type="dxa"/>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13</w:t>
            </w:r>
          </w:p>
        </w:tc>
        <w:tc>
          <w:tcPr>
            <w:tcW w:w="1026"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土木工程学院</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土木工程</w:t>
            </w:r>
          </w:p>
        </w:tc>
        <w:tc>
          <w:tcPr>
            <w:tcW w:w="5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7</w:t>
            </w:r>
          </w:p>
        </w:tc>
        <w:tc>
          <w:tcPr>
            <w:tcW w:w="237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吴浪(13870874168)</w:t>
            </w:r>
          </w:p>
        </w:tc>
      </w:tr>
      <w:tr>
        <w:tblPrEx>
          <w:tblCellMar>
            <w:top w:w="0" w:type="dxa"/>
            <w:left w:w="0" w:type="dxa"/>
            <w:bottom w:w="0" w:type="dxa"/>
            <w:right w:w="0" w:type="dxa"/>
          </w:tblCellMar>
        </w:tblPrEx>
        <w:trPr>
          <w:trHeight w:val="155" w:hRule="atLeast"/>
        </w:trPr>
        <w:tc>
          <w:tcPr>
            <w:tcW w:w="486" w:type="dxa"/>
            <w:vMerge w:val="restart"/>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14</w:t>
            </w:r>
          </w:p>
        </w:tc>
        <w:tc>
          <w:tcPr>
            <w:tcW w:w="1026"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材料与能源学院</w:t>
            </w:r>
          </w:p>
        </w:tc>
        <w:tc>
          <w:tcPr>
            <w:tcW w:w="80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材料科学与工程（可授工学、理学学位）</w:t>
            </w:r>
          </w:p>
        </w:tc>
        <w:tc>
          <w:tcPr>
            <w:tcW w:w="527"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16</w:t>
            </w:r>
          </w:p>
        </w:tc>
        <w:tc>
          <w:tcPr>
            <w:tcW w:w="237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杨干兰(13576025649)</w:t>
            </w:r>
          </w:p>
        </w:tc>
      </w:tr>
      <w:tr>
        <w:tblPrEx>
          <w:tblCellMar>
            <w:top w:w="0" w:type="dxa"/>
            <w:left w:w="0" w:type="dxa"/>
            <w:bottom w:w="0" w:type="dxa"/>
            <w:right w:w="0" w:type="dxa"/>
          </w:tblCellMar>
        </w:tblPrEx>
        <w:trPr>
          <w:trHeight w:val="155"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化学</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55" w:hRule="atLeast"/>
        </w:trPr>
        <w:tc>
          <w:tcPr>
            <w:tcW w:w="486" w:type="dxa"/>
            <w:vMerge w:val="restart"/>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15</w:t>
            </w:r>
          </w:p>
        </w:tc>
        <w:tc>
          <w:tcPr>
            <w:tcW w:w="1026"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生命科学学院</w:t>
            </w:r>
          </w:p>
        </w:tc>
        <w:tc>
          <w:tcPr>
            <w:tcW w:w="80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生物学、药学（可授医学、理学学位）</w:t>
            </w:r>
          </w:p>
        </w:tc>
        <w:tc>
          <w:tcPr>
            <w:tcW w:w="527"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14</w:t>
            </w:r>
          </w:p>
        </w:tc>
        <w:tc>
          <w:tcPr>
            <w:tcW w:w="237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黄建华(13979174889)</w:t>
            </w:r>
          </w:p>
        </w:tc>
      </w:tr>
      <w:tr>
        <w:tblPrEx>
          <w:tblCellMar>
            <w:top w:w="0" w:type="dxa"/>
            <w:left w:w="0" w:type="dxa"/>
            <w:bottom w:w="0" w:type="dxa"/>
            <w:right w:w="0" w:type="dxa"/>
          </w:tblCellMar>
        </w:tblPrEx>
        <w:trPr>
          <w:trHeight w:val="165"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生物工程、生物医学工程（可授工学、理学、医学学位）</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65"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食品科学与工程（可授工学、农学学位）</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272" w:hRule="atLeast"/>
        </w:trPr>
        <w:tc>
          <w:tcPr>
            <w:tcW w:w="486" w:type="dxa"/>
            <w:vMerge w:val="restart"/>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16</w:t>
            </w:r>
          </w:p>
        </w:tc>
        <w:tc>
          <w:tcPr>
            <w:tcW w:w="1026"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药学院</w:t>
            </w:r>
          </w:p>
        </w:tc>
        <w:tc>
          <w:tcPr>
            <w:tcW w:w="80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专任教师岗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药学（可授医学、理学学位）、化学、材料科学与工程（可授工学、理学学位）、生物学、化学工程与技术、生物医学工程（可授工学、理学、医学学位）、生物工程</w:t>
            </w:r>
          </w:p>
        </w:tc>
        <w:tc>
          <w:tcPr>
            <w:tcW w:w="527"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14</w:t>
            </w:r>
          </w:p>
        </w:tc>
        <w:tc>
          <w:tcPr>
            <w:tcW w:w="237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陈振华(13767154425)</w:t>
            </w:r>
          </w:p>
        </w:tc>
      </w:tr>
      <w:tr>
        <w:tblPrEx>
          <w:tblCellMar>
            <w:top w:w="0" w:type="dxa"/>
            <w:left w:w="0" w:type="dxa"/>
            <w:bottom w:w="0" w:type="dxa"/>
            <w:right w:w="0" w:type="dxa"/>
          </w:tblCellMar>
        </w:tblPrEx>
        <w:trPr>
          <w:trHeight w:val="160"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中药学（可授医学、理学学位）、中医学、中西医结合</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60" w:hRule="atLeast"/>
        </w:trPr>
        <w:tc>
          <w:tcPr>
            <w:tcW w:w="486" w:type="dxa"/>
            <w:vMerge w:val="restart"/>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17</w:t>
            </w:r>
          </w:p>
        </w:tc>
        <w:tc>
          <w:tcPr>
            <w:tcW w:w="1026"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继续教育学院</w:t>
            </w:r>
          </w:p>
        </w:tc>
        <w:tc>
          <w:tcPr>
            <w:tcW w:w="80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行政岗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应用经济学</w:t>
            </w:r>
          </w:p>
        </w:tc>
        <w:tc>
          <w:tcPr>
            <w:tcW w:w="527"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2</w:t>
            </w:r>
          </w:p>
        </w:tc>
        <w:tc>
          <w:tcPr>
            <w:tcW w:w="237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罗林,潘之波(13970055236，13870995235)</w:t>
            </w:r>
          </w:p>
        </w:tc>
      </w:tr>
      <w:tr>
        <w:tblPrEx>
          <w:tblCellMar>
            <w:top w:w="0" w:type="dxa"/>
            <w:left w:w="0" w:type="dxa"/>
            <w:bottom w:w="0" w:type="dxa"/>
            <w:right w:w="0" w:type="dxa"/>
          </w:tblCellMar>
        </w:tblPrEx>
        <w:trPr>
          <w:trHeight w:val="160"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成人教育学</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216" w:hRule="atLeast"/>
        </w:trPr>
        <w:tc>
          <w:tcPr>
            <w:tcW w:w="486" w:type="dxa"/>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18</w:t>
            </w:r>
          </w:p>
        </w:tc>
        <w:tc>
          <w:tcPr>
            <w:tcW w:w="1026"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中国共产党建军精神研究院（八一精神研究中心）</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科研为主岗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马克思主义理论、政治学、中国史、军事思想及军事历史、军队政治工作学、图书情报与档案管理、哲学类</w:t>
            </w:r>
          </w:p>
        </w:tc>
        <w:tc>
          <w:tcPr>
            <w:tcW w:w="5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9</w:t>
            </w:r>
          </w:p>
        </w:tc>
        <w:tc>
          <w:tcPr>
            <w:tcW w:w="237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刘琳(15979015405)</w:t>
            </w:r>
          </w:p>
        </w:tc>
      </w:tr>
      <w:tr>
        <w:tblPrEx>
          <w:tblCellMar>
            <w:top w:w="0" w:type="dxa"/>
            <w:left w:w="0" w:type="dxa"/>
            <w:bottom w:w="0" w:type="dxa"/>
            <w:right w:w="0" w:type="dxa"/>
          </w:tblCellMar>
        </w:tblPrEx>
        <w:trPr>
          <w:trHeight w:val="201" w:hRule="atLeast"/>
        </w:trPr>
        <w:tc>
          <w:tcPr>
            <w:tcW w:w="486" w:type="dxa"/>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19</w:t>
            </w:r>
          </w:p>
        </w:tc>
        <w:tc>
          <w:tcPr>
            <w:tcW w:w="1026"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数字化社会与地方文化发展研究中心</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科研为主岗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历史学、文学、哲学、管理学</w:t>
            </w:r>
          </w:p>
        </w:tc>
        <w:tc>
          <w:tcPr>
            <w:tcW w:w="5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9</w:t>
            </w:r>
          </w:p>
        </w:tc>
        <w:tc>
          <w:tcPr>
            <w:tcW w:w="237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习罡华(15970665541)</w:t>
            </w:r>
          </w:p>
        </w:tc>
      </w:tr>
      <w:tr>
        <w:tblPrEx>
          <w:tblCellMar>
            <w:top w:w="0" w:type="dxa"/>
            <w:left w:w="0" w:type="dxa"/>
            <w:bottom w:w="0" w:type="dxa"/>
            <w:right w:w="0" w:type="dxa"/>
          </w:tblCellMar>
        </w:tblPrEx>
        <w:trPr>
          <w:trHeight w:val="143" w:hRule="atLeast"/>
        </w:trPr>
        <w:tc>
          <w:tcPr>
            <w:tcW w:w="486" w:type="dxa"/>
            <w:vMerge w:val="restart"/>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20</w:t>
            </w:r>
          </w:p>
        </w:tc>
        <w:tc>
          <w:tcPr>
            <w:tcW w:w="1026"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江西省有机功能分子重点实验室</w:t>
            </w:r>
          </w:p>
        </w:tc>
        <w:tc>
          <w:tcPr>
            <w:tcW w:w="80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科研为主岗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物理化学（含∶化学物理）</w:t>
            </w:r>
          </w:p>
        </w:tc>
        <w:tc>
          <w:tcPr>
            <w:tcW w:w="527"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10</w:t>
            </w:r>
          </w:p>
        </w:tc>
        <w:tc>
          <w:tcPr>
            <w:tcW w:w="237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赵丰(13767058876)</w:t>
            </w:r>
          </w:p>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孟玮(13870620922)</w:t>
            </w:r>
          </w:p>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胡韬(15079061026)</w:t>
            </w:r>
          </w:p>
        </w:tc>
      </w:tr>
      <w:tr>
        <w:tblPrEx>
          <w:tblCellMar>
            <w:top w:w="0" w:type="dxa"/>
            <w:left w:w="0" w:type="dxa"/>
            <w:bottom w:w="0" w:type="dxa"/>
            <w:right w:w="0" w:type="dxa"/>
          </w:tblCellMar>
        </w:tblPrEx>
        <w:trPr>
          <w:trHeight w:val="143"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生物学</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43"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化学</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43"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材料科学与工程（可授工学、理学学位）</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43"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化学工程与技术</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94" w:hRule="atLeast"/>
        </w:trPr>
        <w:tc>
          <w:tcPr>
            <w:tcW w:w="486" w:type="dxa"/>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21</w:t>
            </w:r>
          </w:p>
        </w:tc>
        <w:tc>
          <w:tcPr>
            <w:tcW w:w="1026"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江西省柔性电子重点实验室</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科研为主岗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光学工程、应用化学、化学工程与技术、高分子化学与物理、物理化学（含∶化学物理）、机械工程</w:t>
            </w:r>
          </w:p>
        </w:tc>
        <w:tc>
          <w:tcPr>
            <w:tcW w:w="5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11</w:t>
            </w:r>
          </w:p>
        </w:tc>
        <w:tc>
          <w:tcPr>
            <w:tcW w:w="237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杨汉珺(18600961719)</w:t>
            </w:r>
          </w:p>
        </w:tc>
      </w:tr>
      <w:tr>
        <w:tblPrEx>
          <w:tblCellMar>
            <w:top w:w="0" w:type="dxa"/>
            <w:left w:w="0" w:type="dxa"/>
            <w:bottom w:w="0" w:type="dxa"/>
            <w:right w:w="0" w:type="dxa"/>
          </w:tblCellMar>
        </w:tblPrEx>
        <w:trPr>
          <w:trHeight w:val="136" w:hRule="atLeast"/>
        </w:trPr>
        <w:tc>
          <w:tcPr>
            <w:tcW w:w="486" w:type="dxa"/>
            <w:vMerge w:val="restart"/>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22</w:t>
            </w:r>
          </w:p>
        </w:tc>
        <w:tc>
          <w:tcPr>
            <w:tcW w:w="1026"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江西省光电子与通信重点实验室</w:t>
            </w:r>
          </w:p>
        </w:tc>
        <w:tc>
          <w:tcPr>
            <w:tcW w:w="80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科研为主岗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材料科学与工程（可授工学、理学学位）</w:t>
            </w:r>
          </w:p>
        </w:tc>
        <w:tc>
          <w:tcPr>
            <w:tcW w:w="527"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10</w:t>
            </w:r>
          </w:p>
        </w:tc>
        <w:tc>
          <w:tcPr>
            <w:tcW w:w="237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黄振(13970981619)</w:t>
            </w:r>
          </w:p>
        </w:tc>
      </w:tr>
      <w:tr>
        <w:tblPrEx>
          <w:tblCellMar>
            <w:top w:w="0" w:type="dxa"/>
            <w:left w:w="0" w:type="dxa"/>
            <w:bottom w:w="0" w:type="dxa"/>
            <w:right w:w="0" w:type="dxa"/>
          </w:tblCellMar>
        </w:tblPrEx>
        <w:trPr>
          <w:trHeight w:val="136"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电子科学与技术（可授工学、理学学位）</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36"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物理学</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36"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动力工程及工程热物理</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36"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光学工程</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36"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机械工程</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36"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控制科学与工程</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36"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计算机科学与技术（可授工学、理学学位）</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48" w:hRule="atLeast"/>
        </w:trPr>
        <w:tc>
          <w:tcPr>
            <w:tcW w:w="486" w:type="dxa"/>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23</w:t>
            </w:r>
          </w:p>
        </w:tc>
        <w:tc>
          <w:tcPr>
            <w:tcW w:w="1026"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教育教学质量评估中心</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行政岗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理学、工学</w:t>
            </w:r>
          </w:p>
        </w:tc>
        <w:tc>
          <w:tcPr>
            <w:tcW w:w="5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2</w:t>
            </w:r>
          </w:p>
        </w:tc>
        <w:tc>
          <w:tcPr>
            <w:tcW w:w="237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wordWrap w:val="0"/>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温伯颖(83835914、13870859110)</w:t>
            </w:r>
          </w:p>
        </w:tc>
      </w:tr>
      <w:tr>
        <w:tblPrEx>
          <w:tblCellMar>
            <w:top w:w="0" w:type="dxa"/>
            <w:left w:w="0" w:type="dxa"/>
            <w:bottom w:w="0" w:type="dxa"/>
            <w:right w:w="0" w:type="dxa"/>
          </w:tblCellMar>
        </w:tblPrEx>
        <w:trPr>
          <w:trHeight w:val="204" w:hRule="atLeast"/>
        </w:trPr>
        <w:tc>
          <w:tcPr>
            <w:tcW w:w="486" w:type="dxa"/>
            <w:vMerge w:val="restart"/>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24</w:t>
            </w:r>
          </w:p>
        </w:tc>
        <w:tc>
          <w:tcPr>
            <w:tcW w:w="1026"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资产与实验室管理处(分析测试中心)</w:t>
            </w:r>
          </w:p>
        </w:tc>
        <w:tc>
          <w:tcPr>
            <w:tcW w:w="80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教辅岗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化学、生物学、药学（可授医学、理学学位）、环境科学与工程（可授工学、理学、农学学位）、材料科学与工程（可授工学、理学学位）</w:t>
            </w:r>
          </w:p>
        </w:tc>
        <w:tc>
          <w:tcPr>
            <w:tcW w:w="527"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6</w:t>
            </w:r>
          </w:p>
        </w:tc>
        <w:tc>
          <w:tcPr>
            <w:tcW w:w="2373"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龙传南(18379147903)</w:t>
            </w:r>
          </w:p>
        </w:tc>
      </w:tr>
      <w:tr>
        <w:tblPrEx>
          <w:tblCellMar>
            <w:top w:w="0" w:type="dxa"/>
            <w:left w:w="0" w:type="dxa"/>
            <w:bottom w:w="0" w:type="dxa"/>
            <w:right w:w="0" w:type="dxa"/>
          </w:tblCellMar>
        </w:tblPrEx>
        <w:trPr>
          <w:trHeight w:val="252"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化学工程与技术、生物医学工程（可授工学、理学、医学学位）、生物工程</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268"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机械工程、仪器科学与技术、纺织科学与工程、轻工技术与工程、农业工程、林业工程、食品科学与工程（可授工学、农学学位）、中药学（可授医学、理学学位）、医学技术（可授医学、理学学位）</w:t>
            </w: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c>
          <w:tcPr>
            <w:tcW w:w="0" w:type="auto"/>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 w:val="15"/>
                <w:szCs w:val="15"/>
                <w14:ligatures w14:val="none"/>
              </w:rPr>
            </w:pPr>
          </w:p>
        </w:tc>
      </w:tr>
      <w:tr>
        <w:tblPrEx>
          <w:tblCellMar>
            <w:top w:w="0" w:type="dxa"/>
            <w:left w:w="0" w:type="dxa"/>
            <w:bottom w:w="0" w:type="dxa"/>
            <w:right w:w="0" w:type="dxa"/>
          </w:tblCellMar>
        </w:tblPrEx>
        <w:trPr>
          <w:trHeight w:val="152" w:hRule="atLeast"/>
        </w:trPr>
        <w:tc>
          <w:tcPr>
            <w:tcW w:w="486" w:type="dxa"/>
            <w:tcBorders>
              <w:top w:val="nil"/>
              <w:left w:val="single" w:color="000000" w:sz="6" w:space="0"/>
              <w:bottom w:val="single" w:color="000000" w:sz="6" w:space="0"/>
              <w:right w:val="single" w:color="000000" w:sz="6" w:space="0"/>
            </w:tcBorders>
            <w:noWrap/>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25</w:t>
            </w:r>
          </w:p>
        </w:tc>
        <w:tc>
          <w:tcPr>
            <w:tcW w:w="1026"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教育技术与信息中心</w:t>
            </w:r>
          </w:p>
        </w:tc>
        <w:tc>
          <w:tcPr>
            <w:tcW w:w="80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教辅岗</w:t>
            </w:r>
          </w:p>
        </w:tc>
        <w:tc>
          <w:tcPr>
            <w:tcW w:w="2845"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计算机应用技术</w:t>
            </w:r>
          </w:p>
        </w:tc>
        <w:tc>
          <w:tcPr>
            <w:tcW w:w="5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2</w:t>
            </w:r>
          </w:p>
        </w:tc>
        <w:tc>
          <w:tcPr>
            <w:tcW w:w="2373"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widowControl/>
              <w:jc w:val="center"/>
              <w:textAlignment w:val="center"/>
              <w:rPr>
                <w:rFonts w:ascii="宋体" w:hAnsi="宋体" w:eastAsia="宋体" w:cs="宋体"/>
                <w:color w:val="555555"/>
                <w:kern w:val="0"/>
                <w:sz w:val="15"/>
                <w:szCs w:val="15"/>
                <w14:ligatures w14:val="none"/>
              </w:rPr>
            </w:pPr>
            <w:r>
              <w:rPr>
                <w:rFonts w:hint="eastAsia" w:ascii="宋体" w:hAnsi="宋体" w:eastAsia="宋体" w:cs="宋体"/>
                <w:color w:val="555555"/>
                <w:kern w:val="0"/>
                <w:sz w:val="15"/>
                <w:szCs w:val="15"/>
                <w14:ligatures w14:val="none"/>
              </w:rPr>
              <w:t>黎虹(13879139694)</w:t>
            </w:r>
          </w:p>
        </w:tc>
      </w:tr>
    </w:tbl>
    <w:p>
      <w:pPr>
        <w:pStyle w:val="4"/>
        <w:widowControl w:val="0"/>
        <w:spacing w:before="0" w:beforeAutospacing="0" w:after="0" w:afterAutospacing="0" w:line="480" w:lineRule="auto"/>
        <w:rPr>
          <w:rFonts w:hint="eastAsia" w:ascii="宋体" w:hAnsi="宋体" w:cs="Times New Roman"/>
        </w:rPr>
      </w:pPr>
      <w:r>
        <w:rPr>
          <w:rFonts w:hint="eastAsia" w:ascii="宋体" w:hAnsi="宋体" w:cs="Times New Roman"/>
        </w:rPr>
        <w:t>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1.1.以上招聘人员在报到时应取得博士学历、学位证书，国（境）外学历须经教育部留学服务中心认证。应届博士毕业生最迟应于2024年12月31日前获得学历及学位证书；</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2.博士年龄40周岁以下（1984年1月1日以后出生）。业绩突出博士在符合上级部门相关要求前提下，可适当放宽年龄限制。</w:t>
      </w:r>
    </w:p>
    <w:p>
      <w:pPr>
        <w:pStyle w:val="4"/>
        <w:spacing w:before="0" w:beforeAutospacing="0" w:after="0" w:afterAutospacing="0" w:line="315" w:lineRule="atLeast"/>
        <w:rPr>
          <w:color w:val="555555"/>
          <w:sz w:val="21"/>
          <w:szCs w:val="21"/>
        </w:rPr>
      </w:pPr>
      <w:r>
        <w:rPr>
          <w:rStyle w:val="7"/>
          <w:rFonts w:hint="eastAsia"/>
          <w:color w:val="555555"/>
        </w:rPr>
        <w:t>三、应聘办法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1.报名时间：即日起至2024年12月31日，招满即止。</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2.报名方式：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凡有意应聘者，可直接与应聘部门联系，并通过扫描“招才引智”二维码投递简历（简历需含学习和工作经历、工作业绩、代表性成果），二维码附后。 </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3.联系方式：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人事处：陈老师 0791-83810190  jxksdrsc@163.com</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学校网址：http://www.jxstnu.cn/</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学校地址：江西省南昌市红角洲学府大道589号（红角洲校区）</w:t>
      </w:r>
    </w:p>
    <w:p>
      <w:pPr>
        <w:pStyle w:val="4"/>
        <w:spacing w:before="0" w:beforeAutospacing="0" w:after="0" w:afterAutospacing="0" w:line="315" w:lineRule="atLeast"/>
        <w:jc w:val="both"/>
        <w:rPr>
          <w:color w:val="555555"/>
          <w:sz w:val="21"/>
          <w:szCs w:val="21"/>
        </w:rPr>
      </w:pPr>
      <w:r>
        <w:rPr>
          <w:rStyle w:val="7"/>
          <w:rFonts w:hint="eastAsia"/>
          <w:color w:val="555555"/>
        </w:rPr>
        <w:t>四、考核、考察</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1.考核方式：领军人才、学科带头人及高职称人员采取直接面谈的方式考核；博士采取面试、试讲等方式考核，择优录取，考核内容为综合素质、相关专业知识、专业技能等。面试时间、地点：定时开展，具体时间由应聘部门通知。</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2.学校组织对应聘人员的政治立场、学术道德、遵纪守法、教育背景、工作经历、任职资格等情况进行考察。</w:t>
      </w:r>
    </w:p>
    <w:p>
      <w:pPr>
        <w:pStyle w:val="4"/>
        <w:spacing w:before="0" w:beforeAutospacing="0" w:after="0" w:afterAutospacing="0" w:line="315" w:lineRule="atLeast"/>
        <w:rPr>
          <w:color w:val="555555"/>
          <w:sz w:val="21"/>
          <w:szCs w:val="21"/>
        </w:rPr>
      </w:pPr>
      <w:r>
        <w:rPr>
          <w:rStyle w:val="7"/>
          <w:rFonts w:hint="eastAsia"/>
          <w:color w:val="555555"/>
        </w:rPr>
        <w:t>五、体检</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1.根据考核成绩，从高分到低分，按岗位招聘人数1：1的比例择优确定体检人员。</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2.在指定医院参加身心体检，体检标准参照《江西省申报认定教师资格人员体检办法》执行，体检有关安排另行通知。</w:t>
      </w:r>
    </w:p>
    <w:p>
      <w:pPr>
        <w:pStyle w:val="4"/>
        <w:spacing w:before="0" w:beforeAutospacing="0" w:after="0" w:afterAutospacing="0" w:line="315" w:lineRule="atLeast"/>
        <w:rPr>
          <w:color w:val="555555"/>
          <w:sz w:val="21"/>
          <w:szCs w:val="21"/>
        </w:rPr>
      </w:pPr>
      <w:r>
        <w:rPr>
          <w:rStyle w:val="7"/>
          <w:rFonts w:hint="eastAsia"/>
          <w:color w:val="555555"/>
        </w:rPr>
        <w:t>六、录用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经考核、考察、体检合格，公示无异议后，办理相关聘用手续（试用期三个月）。</w:t>
      </w:r>
    </w:p>
    <w:p>
      <w:pPr>
        <w:widowControl/>
        <w:spacing w:line="315" w:lineRule="atLeast"/>
        <w:jc w:val="left"/>
        <w:rPr>
          <w:rFonts w:ascii="宋体" w:hAnsi="宋体" w:eastAsia="宋体" w:cs="宋体"/>
          <w:color w:val="555555"/>
          <w:kern w:val="0"/>
          <w:szCs w:val="21"/>
          <w14:ligatures w14:val="none"/>
        </w:rPr>
      </w:pPr>
      <w:r>
        <w:rPr>
          <w:rFonts w:hint="eastAsia" w:ascii="宋体" w:hAnsi="宋体" w:eastAsia="宋体" w:cs="宋体"/>
          <w:b/>
          <w:bCs/>
          <w:color w:val="555555"/>
          <w:kern w:val="0"/>
          <w:sz w:val="24"/>
          <w:szCs w:val="24"/>
          <w14:ligatures w14:val="none"/>
        </w:rPr>
        <w:t>七、待遇</w:t>
      </w:r>
    </w:p>
    <w:p>
      <w:pPr>
        <w:widowControl/>
        <w:spacing w:line="360" w:lineRule="atLeast"/>
        <w:jc w:val="left"/>
        <w:rPr>
          <w:rFonts w:ascii="宋体" w:hAnsi="宋体" w:eastAsia="宋体" w:cs="宋体"/>
          <w:color w:val="555555"/>
          <w:kern w:val="0"/>
          <w:szCs w:val="21"/>
          <w14:ligatures w14:val="none"/>
        </w:rPr>
      </w:pPr>
      <w:r>
        <w:rPr>
          <w:rFonts w:hint="eastAsia" w:ascii="宋体" w:hAnsi="宋体" w:eastAsia="宋体" w:cs="宋体"/>
          <w:b/>
          <w:bCs/>
          <w:color w:val="555555"/>
          <w:kern w:val="0"/>
          <w:sz w:val="24"/>
          <w:szCs w:val="24"/>
          <w14:ligatures w14:val="none"/>
        </w:rPr>
        <w:t>1.基本引进待遇：</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1）学校为全职在我校工作的引进人才提供博士学位津贴、安家费、购房补贴和科研启动费等，安家费、购房补贴(分5年支付)和科研启动费标准见《全职引进人才享受优惠待遇参照表》，博士学位津贴按每月1000元发放。</w:t>
      </w:r>
    </w:p>
    <w:p>
      <w:pPr>
        <w:widowControl/>
        <w:spacing w:line="375"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《全职引进人才享受优惠待遇参照表》</w:t>
      </w:r>
    </w:p>
    <w:tbl>
      <w:tblPr>
        <w:tblStyle w:val="5"/>
        <w:tblW w:w="8259" w:type="dxa"/>
        <w:tblInd w:w="0" w:type="dxa"/>
        <w:tblLayout w:type="autofit"/>
        <w:tblCellMar>
          <w:top w:w="0" w:type="dxa"/>
          <w:left w:w="0" w:type="dxa"/>
          <w:bottom w:w="0" w:type="dxa"/>
          <w:right w:w="0" w:type="dxa"/>
        </w:tblCellMar>
      </w:tblPr>
      <w:tblGrid>
        <w:gridCol w:w="3226"/>
        <w:gridCol w:w="720"/>
        <w:gridCol w:w="114"/>
        <w:gridCol w:w="720"/>
        <w:gridCol w:w="736"/>
        <w:gridCol w:w="1074"/>
        <w:gridCol w:w="1669"/>
      </w:tblGrid>
      <w:tr>
        <w:trPr>
          <w:trHeight w:val="612" w:hRule="atLeast"/>
        </w:trPr>
        <w:tc>
          <w:tcPr>
            <w:tcW w:w="3243" w:type="dxa"/>
            <w:vMerge w:val="restart"/>
            <w:tcBorders>
              <w:top w:val="single" w:color="000000" w:sz="6" w:space="0"/>
              <w:left w:val="single" w:color="000000" w:sz="6" w:space="0"/>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ascii="Calibri" w:hAnsi="Calibri" w:eastAsia="宋体" w:cs="Calibri"/>
                <w:color w:val="555555"/>
                <w:kern w:val="0"/>
                <w:szCs w:val="21"/>
                <w14:ligatures w14:val="none"/>
              </w:rPr>
              <w:t>   </w:t>
            </w:r>
            <w:r>
              <w:rPr>
                <w:rFonts w:hint="eastAsia" w:ascii="宋体" w:hAnsi="宋体" w:eastAsia="宋体" w:cs="宋体"/>
                <w:color w:val="555555"/>
                <w:kern w:val="0"/>
                <w:sz w:val="24"/>
                <w:szCs w:val="24"/>
                <w14:ligatures w14:val="none"/>
              </w:rPr>
              <w:t>人才类别</w:t>
            </w:r>
          </w:p>
        </w:tc>
        <w:tc>
          <w:tcPr>
            <w:tcW w:w="2267" w:type="dxa"/>
            <w:gridSpan w:val="4"/>
            <w:tcBorders>
              <w:top w:val="single" w:color="000000" w:sz="6" w:space="0"/>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科研启动费（万元）</w:t>
            </w:r>
          </w:p>
        </w:tc>
        <w:tc>
          <w:tcPr>
            <w:tcW w:w="1076" w:type="dxa"/>
            <w:tcBorders>
              <w:top w:val="single" w:color="000000" w:sz="6" w:space="0"/>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购房补贴</w:t>
            </w:r>
          </w:p>
        </w:tc>
        <w:tc>
          <w:tcPr>
            <w:tcW w:w="1672" w:type="dxa"/>
            <w:tcBorders>
              <w:top w:val="single" w:color="000000" w:sz="6" w:space="0"/>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安家费</w:t>
            </w:r>
          </w:p>
        </w:tc>
      </w:tr>
      <w:tr>
        <w:tblPrEx>
          <w:tblCellMar>
            <w:top w:w="0" w:type="dxa"/>
            <w:left w:w="0" w:type="dxa"/>
            <w:bottom w:w="0" w:type="dxa"/>
            <w:right w:w="0" w:type="dxa"/>
          </w:tblCellMar>
        </w:tblPrEx>
        <w:trPr>
          <w:trHeight w:val="434" w:hRule="atLeast"/>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Cs w:val="21"/>
                <w14:ligatures w14:val="none"/>
              </w:rPr>
            </w:pPr>
          </w:p>
        </w:tc>
        <w:tc>
          <w:tcPr>
            <w:tcW w:w="835" w:type="dxa"/>
            <w:gridSpan w:val="2"/>
            <w:vMerge w:val="restart"/>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人文社会</w:t>
            </w:r>
          </w:p>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科学类</w:t>
            </w:r>
          </w:p>
        </w:tc>
        <w:tc>
          <w:tcPr>
            <w:tcW w:w="1431" w:type="dxa"/>
            <w:gridSpan w:val="2"/>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自然科学类</w:t>
            </w:r>
          </w:p>
        </w:tc>
        <w:tc>
          <w:tcPr>
            <w:tcW w:w="1076" w:type="dxa"/>
            <w:vMerge w:val="restart"/>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（万元）</w:t>
            </w:r>
          </w:p>
        </w:tc>
        <w:tc>
          <w:tcPr>
            <w:tcW w:w="1672" w:type="dxa"/>
            <w:vMerge w:val="restart"/>
            <w:tcBorders>
              <w:top w:val="single" w:color="000000" w:sz="6" w:space="0"/>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（万元）</w:t>
            </w:r>
          </w:p>
        </w:tc>
      </w:tr>
      <w:tr>
        <w:tblPrEx>
          <w:tblCellMar>
            <w:top w:w="0" w:type="dxa"/>
            <w:left w:w="0" w:type="dxa"/>
            <w:bottom w:w="0" w:type="dxa"/>
            <w:right w:w="0" w:type="dxa"/>
          </w:tblCellMar>
        </w:tblPrEx>
        <w:trPr>
          <w:trHeight w:val="493" w:hRule="atLeast"/>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555555"/>
                <w:kern w:val="0"/>
                <w:szCs w:val="21"/>
                <w14:ligatures w14:val="none"/>
              </w:rPr>
            </w:pPr>
          </w:p>
        </w:tc>
        <w:tc>
          <w:tcPr>
            <w:tcW w:w="0" w:type="auto"/>
            <w:gridSpan w:val="2"/>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color w:val="555555"/>
                <w:kern w:val="0"/>
                <w:szCs w:val="21"/>
                <w14:ligatures w14:val="none"/>
              </w:rPr>
            </w:pPr>
          </w:p>
        </w:tc>
        <w:tc>
          <w:tcPr>
            <w:tcW w:w="721" w:type="dxa"/>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理科</w:t>
            </w:r>
          </w:p>
        </w:tc>
        <w:tc>
          <w:tcPr>
            <w:tcW w:w="709" w:type="dxa"/>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工科</w:t>
            </w:r>
          </w:p>
        </w:tc>
        <w:tc>
          <w:tcPr>
            <w:tcW w:w="0" w:type="auto"/>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color w:val="555555"/>
                <w:kern w:val="0"/>
                <w:szCs w:val="21"/>
                <w14:ligatures w14:val="none"/>
              </w:rPr>
            </w:pPr>
          </w:p>
        </w:tc>
        <w:tc>
          <w:tcPr>
            <w:tcW w:w="0" w:type="auto"/>
            <w:vMerge w:val="continue"/>
            <w:tcBorders>
              <w:top w:val="single" w:color="000000" w:sz="6" w:space="0"/>
              <w:left w:val="nil"/>
              <w:bottom w:val="single" w:color="000000" w:sz="6" w:space="0"/>
              <w:right w:val="single" w:color="000000" w:sz="6" w:space="0"/>
            </w:tcBorders>
            <w:vAlign w:val="center"/>
          </w:tcPr>
          <w:p>
            <w:pPr>
              <w:widowControl/>
              <w:jc w:val="left"/>
              <w:rPr>
                <w:rFonts w:ascii="宋体" w:hAnsi="宋体" w:eastAsia="宋体" w:cs="宋体"/>
                <w:color w:val="555555"/>
                <w:kern w:val="0"/>
                <w:szCs w:val="21"/>
                <w14:ligatures w14:val="none"/>
              </w:rPr>
            </w:pPr>
          </w:p>
        </w:tc>
      </w:tr>
      <w:tr>
        <w:tblPrEx>
          <w:tblCellMar>
            <w:top w:w="0" w:type="dxa"/>
            <w:left w:w="0" w:type="dxa"/>
            <w:bottom w:w="0" w:type="dxa"/>
            <w:right w:w="0" w:type="dxa"/>
          </w:tblCellMar>
        </w:tblPrEx>
        <w:trPr>
          <w:trHeight w:val="750" w:hRule="atLeast"/>
        </w:trPr>
        <w:tc>
          <w:tcPr>
            <w:tcW w:w="3243" w:type="dxa"/>
            <w:tcBorders>
              <w:top w:val="nil"/>
              <w:left w:val="single" w:color="000000" w:sz="6" w:space="0"/>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领军人才</w:t>
            </w:r>
          </w:p>
        </w:tc>
        <w:tc>
          <w:tcPr>
            <w:tcW w:w="5016" w:type="dxa"/>
            <w:gridSpan w:val="6"/>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面        议</w:t>
            </w:r>
          </w:p>
        </w:tc>
      </w:tr>
      <w:tr>
        <w:tblPrEx>
          <w:tblCellMar>
            <w:top w:w="0" w:type="dxa"/>
            <w:left w:w="0" w:type="dxa"/>
            <w:bottom w:w="0" w:type="dxa"/>
            <w:right w:w="0" w:type="dxa"/>
          </w:tblCellMar>
        </w:tblPrEx>
        <w:trPr>
          <w:trHeight w:val="750" w:hRule="atLeast"/>
        </w:trPr>
        <w:tc>
          <w:tcPr>
            <w:tcW w:w="3243" w:type="dxa"/>
            <w:tcBorders>
              <w:top w:val="nil"/>
              <w:left w:val="single" w:color="000000" w:sz="6" w:space="0"/>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国家级高层次人才</w:t>
            </w:r>
          </w:p>
        </w:tc>
        <w:tc>
          <w:tcPr>
            <w:tcW w:w="5016" w:type="dxa"/>
            <w:gridSpan w:val="6"/>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面        议</w:t>
            </w:r>
          </w:p>
        </w:tc>
      </w:tr>
      <w:tr>
        <w:tblPrEx>
          <w:tblCellMar>
            <w:top w:w="0" w:type="dxa"/>
            <w:left w:w="0" w:type="dxa"/>
            <w:bottom w:w="0" w:type="dxa"/>
            <w:right w:w="0" w:type="dxa"/>
          </w:tblCellMar>
        </w:tblPrEx>
        <w:trPr>
          <w:trHeight w:val="750" w:hRule="atLeast"/>
        </w:trPr>
        <w:tc>
          <w:tcPr>
            <w:tcW w:w="3243" w:type="dxa"/>
            <w:tcBorders>
              <w:top w:val="nil"/>
              <w:left w:val="single" w:color="000000" w:sz="6" w:space="0"/>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省部级高层次人才</w:t>
            </w:r>
          </w:p>
        </w:tc>
        <w:tc>
          <w:tcPr>
            <w:tcW w:w="721" w:type="dxa"/>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23-43</w:t>
            </w:r>
          </w:p>
        </w:tc>
        <w:tc>
          <w:tcPr>
            <w:tcW w:w="835" w:type="dxa"/>
            <w:gridSpan w:val="2"/>
            <w:tcBorders>
              <w:top w:val="single" w:color="000000" w:sz="6" w:space="0"/>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43-93</w:t>
            </w:r>
          </w:p>
        </w:tc>
        <w:tc>
          <w:tcPr>
            <w:tcW w:w="709" w:type="dxa"/>
            <w:tcBorders>
              <w:top w:val="single" w:color="000000" w:sz="6" w:space="0"/>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93-143</w:t>
            </w:r>
          </w:p>
        </w:tc>
        <w:tc>
          <w:tcPr>
            <w:tcW w:w="1076" w:type="dxa"/>
            <w:tcBorders>
              <w:top w:val="single" w:color="000000" w:sz="6" w:space="0"/>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57-107</w:t>
            </w:r>
          </w:p>
        </w:tc>
        <w:tc>
          <w:tcPr>
            <w:tcW w:w="1672" w:type="dxa"/>
            <w:vMerge w:val="restart"/>
            <w:tcBorders>
              <w:top w:val="single" w:color="000000" w:sz="6" w:space="0"/>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博导：15</w:t>
            </w:r>
          </w:p>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正高：12</w:t>
            </w:r>
          </w:p>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博士且副高：10</w:t>
            </w:r>
          </w:p>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博士（后）：8</w:t>
            </w:r>
          </w:p>
        </w:tc>
      </w:tr>
      <w:tr>
        <w:tblPrEx>
          <w:tblCellMar>
            <w:top w:w="0" w:type="dxa"/>
            <w:left w:w="0" w:type="dxa"/>
            <w:bottom w:w="0" w:type="dxa"/>
            <w:right w:w="0" w:type="dxa"/>
          </w:tblCellMar>
        </w:tblPrEx>
        <w:trPr>
          <w:trHeight w:val="750" w:hRule="atLeast"/>
        </w:trPr>
        <w:tc>
          <w:tcPr>
            <w:tcW w:w="3243" w:type="dxa"/>
            <w:tcBorders>
              <w:top w:val="nil"/>
              <w:left w:val="single" w:color="000000" w:sz="6" w:space="0"/>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学科带头人</w:t>
            </w:r>
          </w:p>
        </w:tc>
        <w:tc>
          <w:tcPr>
            <w:tcW w:w="721" w:type="dxa"/>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15</w:t>
            </w:r>
          </w:p>
        </w:tc>
        <w:tc>
          <w:tcPr>
            <w:tcW w:w="835" w:type="dxa"/>
            <w:gridSpan w:val="2"/>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20</w:t>
            </w:r>
          </w:p>
        </w:tc>
        <w:tc>
          <w:tcPr>
            <w:tcW w:w="709" w:type="dxa"/>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25</w:t>
            </w:r>
          </w:p>
        </w:tc>
        <w:tc>
          <w:tcPr>
            <w:tcW w:w="1076" w:type="dxa"/>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27-37</w:t>
            </w:r>
          </w:p>
        </w:tc>
        <w:tc>
          <w:tcPr>
            <w:tcW w:w="0" w:type="auto"/>
            <w:vMerge w:val="continue"/>
            <w:tcBorders>
              <w:top w:val="single" w:color="000000" w:sz="6" w:space="0"/>
              <w:left w:val="nil"/>
              <w:bottom w:val="single" w:color="000000" w:sz="6" w:space="0"/>
              <w:right w:val="single" w:color="000000" w:sz="6" w:space="0"/>
            </w:tcBorders>
            <w:vAlign w:val="center"/>
          </w:tcPr>
          <w:p>
            <w:pPr>
              <w:widowControl/>
              <w:jc w:val="left"/>
              <w:rPr>
                <w:rFonts w:ascii="宋体" w:hAnsi="宋体" w:eastAsia="宋体" w:cs="宋体"/>
                <w:color w:val="555555"/>
                <w:kern w:val="0"/>
                <w:szCs w:val="21"/>
                <w14:ligatures w14:val="none"/>
              </w:rPr>
            </w:pPr>
          </w:p>
        </w:tc>
      </w:tr>
      <w:tr>
        <w:tblPrEx>
          <w:tblCellMar>
            <w:top w:w="0" w:type="dxa"/>
            <w:left w:w="0" w:type="dxa"/>
            <w:bottom w:w="0" w:type="dxa"/>
            <w:right w:w="0" w:type="dxa"/>
          </w:tblCellMar>
        </w:tblPrEx>
        <w:trPr>
          <w:trHeight w:val="750" w:hRule="atLeast"/>
        </w:trPr>
        <w:tc>
          <w:tcPr>
            <w:tcW w:w="3243" w:type="dxa"/>
            <w:tcBorders>
              <w:top w:val="nil"/>
              <w:left w:val="single" w:color="000000" w:sz="6" w:space="0"/>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青年学术骨干</w:t>
            </w:r>
          </w:p>
        </w:tc>
        <w:tc>
          <w:tcPr>
            <w:tcW w:w="721" w:type="dxa"/>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10</w:t>
            </w:r>
          </w:p>
        </w:tc>
        <w:tc>
          <w:tcPr>
            <w:tcW w:w="835" w:type="dxa"/>
            <w:gridSpan w:val="2"/>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15</w:t>
            </w:r>
          </w:p>
        </w:tc>
        <w:tc>
          <w:tcPr>
            <w:tcW w:w="709" w:type="dxa"/>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20</w:t>
            </w:r>
          </w:p>
        </w:tc>
        <w:tc>
          <w:tcPr>
            <w:tcW w:w="1076" w:type="dxa"/>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22-27</w:t>
            </w:r>
          </w:p>
        </w:tc>
        <w:tc>
          <w:tcPr>
            <w:tcW w:w="0" w:type="auto"/>
            <w:vMerge w:val="continue"/>
            <w:tcBorders>
              <w:top w:val="single" w:color="000000" w:sz="6" w:space="0"/>
              <w:left w:val="nil"/>
              <w:bottom w:val="single" w:color="000000" w:sz="6" w:space="0"/>
              <w:right w:val="single" w:color="000000" w:sz="6" w:space="0"/>
            </w:tcBorders>
            <w:vAlign w:val="center"/>
          </w:tcPr>
          <w:p>
            <w:pPr>
              <w:widowControl/>
              <w:jc w:val="left"/>
              <w:rPr>
                <w:rFonts w:ascii="宋体" w:hAnsi="宋体" w:eastAsia="宋体" w:cs="宋体"/>
                <w:color w:val="555555"/>
                <w:kern w:val="0"/>
                <w:szCs w:val="21"/>
                <w14:ligatures w14:val="none"/>
              </w:rPr>
            </w:pPr>
          </w:p>
        </w:tc>
      </w:tr>
      <w:tr>
        <w:tblPrEx>
          <w:tblCellMar>
            <w:top w:w="0" w:type="dxa"/>
            <w:left w:w="0" w:type="dxa"/>
            <w:bottom w:w="0" w:type="dxa"/>
            <w:right w:w="0" w:type="dxa"/>
          </w:tblCellMar>
        </w:tblPrEx>
        <w:trPr>
          <w:trHeight w:val="750" w:hRule="atLeast"/>
        </w:trPr>
        <w:tc>
          <w:tcPr>
            <w:tcW w:w="3243" w:type="dxa"/>
            <w:tcBorders>
              <w:top w:val="nil"/>
              <w:left w:val="single" w:color="000000" w:sz="6" w:space="0"/>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优秀青年博士</w:t>
            </w:r>
          </w:p>
        </w:tc>
        <w:tc>
          <w:tcPr>
            <w:tcW w:w="721" w:type="dxa"/>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5</w:t>
            </w:r>
          </w:p>
        </w:tc>
        <w:tc>
          <w:tcPr>
            <w:tcW w:w="835" w:type="dxa"/>
            <w:gridSpan w:val="2"/>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10</w:t>
            </w:r>
          </w:p>
        </w:tc>
        <w:tc>
          <w:tcPr>
            <w:tcW w:w="709" w:type="dxa"/>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15</w:t>
            </w:r>
          </w:p>
        </w:tc>
        <w:tc>
          <w:tcPr>
            <w:tcW w:w="1076" w:type="dxa"/>
            <w:tcBorders>
              <w:top w:val="nil"/>
              <w:left w:val="nil"/>
              <w:bottom w:val="single" w:color="000000" w:sz="6" w:space="0"/>
              <w:right w:val="single" w:color="000000" w:sz="6" w:space="0"/>
            </w:tcBorders>
          </w:tcPr>
          <w:p>
            <w:pPr>
              <w:widowControl/>
              <w:spacing w:line="300" w:lineRule="atLeast"/>
              <w:jc w:val="center"/>
              <w:rPr>
                <w:rFonts w:ascii="宋体" w:hAnsi="宋体" w:eastAsia="宋体" w:cs="宋体"/>
                <w:color w:val="555555"/>
                <w:kern w:val="0"/>
                <w:szCs w:val="21"/>
                <w14:ligatures w14:val="none"/>
              </w:rPr>
            </w:pPr>
            <w:r>
              <w:rPr>
                <w:rFonts w:hint="eastAsia" w:ascii="宋体" w:hAnsi="宋体" w:eastAsia="宋体" w:cs="宋体"/>
                <w:color w:val="555555"/>
                <w:kern w:val="0"/>
                <w:sz w:val="24"/>
                <w:szCs w:val="24"/>
                <w14:ligatures w14:val="none"/>
              </w:rPr>
              <w:t>22</w:t>
            </w:r>
          </w:p>
        </w:tc>
        <w:tc>
          <w:tcPr>
            <w:tcW w:w="0" w:type="auto"/>
            <w:vMerge w:val="continue"/>
            <w:tcBorders>
              <w:top w:val="single" w:color="000000" w:sz="6" w:space="0"/>
              <w:left w:val="nil"/>
              <w:bottom w:val="single" w:color="000000" w:sz="6" w:space="0"/>
              <w:right w:val="single" w:color="000000" w:sz="6" w:space="0"/>
            </w:tcBorders>
            <w:vAlign w:val="center"/>
          </w:tcPr>
          <w:p>
            <w:pPr>
              <w:widowControl/>
              <w:jc w:val="left"/>
              <w:rPr>
                <w:rFonts w:ascii="宋体" w:hAnsi="宋体" w:eastAsia="宋体" w:cs="宋体"/>
                <w:color w:val="555555"/>
                <w:kern w:val="0"/>
                <w:szCs w:val="21"/>
                <w14:ligatures w14:val="none"/>
              </w:rPr>
            </w:pPr>
          </w:p>
        </w:tc>
      </w:tr>
    </w:tbl>
    <w:p>
      <w:pPr>
        <w:widowControl/>
        <w:spacing w:line="345" w:lineRule="atLeast"/>
        <w:ind w:firstLine="480" w:firstLineChars="200"/>
        <w:rPr>
          <w:rFonts w:ascii="宋体" w:hAnsi="宋体" w:eastAsia="宋体" w:cs="宋体"/>
          <w:color w:val="555555"/>
          <w:kern w:val="0"/>
          <w:sz w:val="24"/>
          <w:szCs w:val="24"/>
          <w14:ligatures w14:val="none"/>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eastAsia="宋体" w:cs="宋体"/>
          <w:color w:val="555555"/>
          <w:kern w:val="0"/>
          <w:sz w:val="24"/>
          <w:szCs w:val="24"/>
          <w14:ligatures w14:val="none"/>
        </w:rPr>
        <w:t>（</w:t>
      </w:r>
      <w:r>
        <w:rPr>
          <w:rFonts w:hint="eastAsia" w:ascii="宋体" w:hAnsi="宋体" w:cs="Times New Roman"/>
        </w:rPr>
        <w:t>2）优秀人才视情况可在同类别人才享受的优惠待遇的基础上追加购房补贴4-25万。</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cs="Times New Roman"/>
        </w:rPr>
      </w:pPr>
      <w:r>
        <w:rPr>
          <w:rFonts w:hint="eastAsia" w:ascii="宋体" w:hAnsi="宋体" w:cs="Times New Roman"/>
        </w:rPr>
        <w:t>（3）来校后三年内未受聘副高职称的高层次人才，可按副高职称标准发放绩效工资，三年后，按所聘岗位兑现绩效工资待遇；首聘期考核合格的高层次人才，可继续享受绩效工资按副高职称标准发放三年。在原单位已获聘校聘专业技术职务，且符合我校校聘岗位设置，来校后予以续聘。</w:t>
      </w:r>
    </w:p>
    <w:p>
      <w:pPr>
        <w:widowControl/>
        <w:spacing w:line="480" w:lineRule="atLeast"/>
        <w:ind w:firstLine="480"/>
        <w:jc w:val="left"/>
        <w:rPr>
          <w:rFonts w:ascii="宋体" w:hAnsi="宋体" w:eastAsia="宋体" w:cs="宋体"/>
          <w:color w:val="555555"/>
          <w:kern w:val="0"/>
          <w:szCs w:val="21"/>
          <w14:ligatures w14:val="none"/>
        </w:rPr>
      </w:pPr>
      <w:r>
        <w:rPr>
          <w:rFonts w:hint="eastAsia" w:ascii="宋体" w:hAnsi="宋体" w:eastAsia="宋体" w:cs="宋体"/>
          <w:b/>
          <w:bCs/>
          <w:color w:val="555555"/>
          <w:kern w:val="0"/>
          <w:sz w:val="24"/>
          <w:szCs w:val="24"/>
          <w14:ligatures w14:val="none"/>
        </w:rPr>
        <w:t>2.提供事业编制。</w:t>
      </w:r>
    </w:p>
    <w:p>
      <w:pPr>
        <w:widowControl/>
        <w:spacing w:line="480" w:lineRule="atLeast"/>
        <w:ind w:firstLine="480"/>
        <w:jc w:val="left"/>
        <w:rPr>
          <w:rFonts w:hint="eastAsia" w:ascii="宋体" w:hAnsi="宋体" w:eastAsia="宋体" w:cs="Times New Roman"/>
          <w:kern w:val="0"/>
          <w:sz w:val="24"/>
          <w:szCs w:val="24"/>
          <w:lang w:val="en-US" w:eastAsia="zh-CN" w:bidi="ar-SA"/>
          <w14:ligatures w14:val="none"/>
        </w:rPr>
      </w:pPr>
      <w:r>
        <w:rPr>
          <w:rFonts w:hint="eastAsia" w:ascii="宋体" w:hAnsi="宋体" w:eastAsia="宋体" w:cs="宋体"/>
          <w:b/>
          <w:bCs/>
          <w:color w:val="555555"/>
          <w:kern w:val="0"/>
          <w:sz w:val="24"/>
          <w:szCs w:val="24"/>
          <w14:ligatures w14:val="none"/>
        </w:rPr>
        <w:t>3.实行差异化的人才引进待遇：</w:t>
      </w:r>
      <w:r>
        <w:rPr>
          <w:rFonts w:hint="eastAsia" w:ascii="宋体" w:hAnsi="宋体" w:eastAsia="宋体" w:cs="Times New Roman"/>
          <w:kern w:val="0"/>
          <w:sz w:val="24"/>
          <w:szCs w:val="24"/>
          <w:lang w:val="en-US" w:eastAsia="zh-CN" w:bidi="ar-SA"/>
          <w14:ligatures w14:val="none"/>
        </w:rPr>
        <w:t>对于引进的海内外领军人才、学科带头人及学校紧缺人才，采取一人一策模式和特殊政策措施协商引进待遇。</w:t>
      </w:r>
    </w:p>
    <w:p>
      <w:pPr>
        <w:widowControl/>
        <w:spacing w:line="480" w:lineRule="atLeast"/>
        <w:ind w:firstLine="480"/>
        <w:jc w:val="left"/>
        <w:rPr>
          <w:rFonts w:hint="eastAsia" w:ascii="宋体" w:hAnsi="宋体" w:eastAsia="宋体" w:cs="Times New Roman"/>
          <w:kern w:val="0"/>
          <w:sz w:val="24"/>
          <w:szCs w:val="24"/>
          <w:lang w:val="en-US" w:eastAsia="zh-CN" w:bidi="ar-SA"/>
          <w14:ligatures w14:val="none"/>
        </w:rPr>
      </w:pPr>
      <w:r>
        <w:rPr>
          <w:rFonts w:hint="eastAsia" w:ascii="宋体" w:hAnsi="宋体" w:eastAsia="宋体" w:cs="宋体"/>
          <w:b/>
          <w:bCs/>
          <w:color w:val="555555"/>
          <w:kern w:val="0"/>
          <w:sz w:val="24"/>
          <w:szCs w:val="24"/>
          <w14:ligatures w14:val="none"/>
        </w:rPr>
        <w:t>4.校聘教授、副教授：</w:t>
      </w:r>
      <w:r>
        <w:rPr>
          <w:rFonts w:hint="eastAsia" w:ascii="宋体" w:hAnsi="宋体" w:eastAsia="宋体" w:cs="Times New Roman"/>
          <w:kern w:val="0"/>
          <w:sz w:val="24"/>
          <w:szCs w:val="24"/>
          <w:lang w:val="en-US" w:eastAsia="zh-CN" w:bidi="ar-SA"/>
          <w14:ligatures w14:val="none"/>
        </w:rPr>
        <w:t>按照《校聘教授、副教授管理暂行办法（修订）》，可视业绩情况申请校聘教授、副教授岗位。</w:t>
      </w:r>
    </w:p>
    <w:p>
      <w:pPr>
        <w:widowControl/>
        <w:spacing w:line="480" w:lineRule="atLeast"/>
        <w:ind w:firstLine="480"/>
        <w:jc w:val="left"/>
        <w:rPr>
          <w:rFonts w:hint="eastAsia" w:ascii="宋体" w:hAnsi="宋体" w:eastAsia="宋体" w:cs="Times New Roman"/>
          <w:kern w:val="0"/>
          <w:sz w:val="24"/>
          <w:szCs w:val="24"/>
          <w:lang w:val="en-US" w:eastAsia="zh-CN" w:bidi="ar-SA"/>
          <w14:ligatures w14:val="none"/>
        </w:rPr>
      </w:pPr>
      <w:r>
        <w:rPr>
          <w:rFonts w:hint="eastAsia" w:ascii="宋体" w:hAnsi="宋体" w:eastAsia="宋体" w:cs="宋体"/>
          <w:b/>
          <w:bCs/>
          <w:color w:val="555555"/>
          <w:kern w:val="0"/>
          <w:sz w:val="24"/>
          <w:szCs w:val="24"/>
          <w14:ligatures w14:val="none"/>
        </w:rPr>
        <w:t>5.住房待遇：</w:t>
      </w:r>
      <w:r>
        <w:rPr>
          <w:rFonts w:hint="eastAsia" w:ascii="宋体" w:hAnsi="宋体" w:eastAsia="宋体" w:cs="Times New Roman"/>
          <w:kern w:val="0"/>
          <w:sz w:val="24"/>
          <w:szCs w:val="24"/>
          <w:lang w:val="en-US" w:eastAsia="zh-CN" w:bidi="ar-SA"/>
          <w14:ligatures w14:val="none"/>
        </w:rPr>
        <w:t>根据学校房源情况，提供1套校内公租房，享受三年免租政策，三年后按照公租房租住标准收取租金。</w:t>
      </w:r>
    </w:p>
    <w:p>
      <w:pPr>
        <w:widowControl/>
        <w:spacing w:line="480" w:lineRule="atLeast"/>
        <w:ind w:firstLine="480"/>
        <w:jc w:val="left"/>
        <w:rPr>
          <w:rFonts w:hint="eastAsia" w:ascii="宋体" w:hAnsi="宋体" w:eastAsia="宋体" w:cs="Times New Roman"/>
          <w:kern w:val="0"/>
          <w:sz w:val="24"/>
          <w:szCs w:val="24"/>
          <w:lang w:val="en-US" w:eastAsia="zh-CN" w:bidi="ar-SA"/>
          <w14:ligatures w14:val="none"/>
        </w:rPr>
      </w:pPr>
      <w:r>
        <w:rPr>
          <w:rFonts w:hint="eastAsia" w:ascii="宋体" w:hAnsi="宋体" w:eastAsia="宋体" w:cs="宋体"/>
          <w:b/>
          <w:bCs/>
          <w:color w:val="555555"/>
          <w:kern w:val="0"/>
          <w:sz w:val="24"/>
          <w:szCs w:val="24"/>
          <w14:ligatures w14:val="none"/>
        </w:rPr>
        <w:t>6.配偶及子女：</w:t>
      </w:r>
      <w:r>
        <w:rPr>
          <w:rFonts w:hint="eastAsia" w:ascii="宋体" w:hAnsi="宋体" w:eastAsia="宋体" w:cs="Times New Roman"/>
          <w:kern w:val="0"/>
          <w:sz w:val="24"/>
          <w:szCs w:val="24"/>
          <w:lang w:val="en-US" w:eastAsia="zh-CN" w:bidi="ar-SA"/>
          <w14:ligatures w14:val="none"/>
        </w:rPr>
        <w:t>按照《高层次人才配偶安置办法（试行）》，视人才及配偶情况分类安置配偶工作；解决子女入托问题。</w:t>
      </w:r>
    </w:p>
    <w:p>
      <w:pPr>
        <w:widowControl/>
        <w:spacing w:line="480" w:lineRule="atLeast"/>
        <w:ind w:firstLine="480"/>
        <w:jc w:val="left"/>
        <w:rPr>
          <w:rFonts w:hint="eastAsia" w:ascii="宋体" w:hAnsi="宋体" w:eastAsia="宋体" w:cs="Times New Roman"/>
          <w:kern w:val="0"/>
          <w:sz w:val="24"/>
          <w:szCs w:val="24"/>
          <w:lang w:val="en-US" w:eastAsia="zh-CN" w:bidi="ar-SA"/>
          <w14:ligatures w14:val="none"/>
        </w:rPr>
      </w:pPr>
      <w:r>
        <w:rPr>
          <w:rFonts w:hint="eastAsia" w:ascii="宋体" w:hAnsi="宋体" w:eastAsia="宋体" w:cs="宋体"/>
          <w:b/>
          <w:bCs/>
          <w:color w:val="555555"/>
          <w:kern w:val="0"/>
          <w:sz w:val="24"/>
          <w:szCs w:val="24"/>
          <w14:ligatures w14:val="none"/>
        </w:rPr>
        <w:t>7.医疗保健</w:t>
      </w:r>
      <w:r>
        <w:rPr>
          <w:rFonts w:hint="eastAsia" w:ascii="宋体" w:hAnsi="宋体" w:eastAsia="宋体" w:cs="宋体"/>
          <w:color w:val="555555"/>
          <w:kern w:val="0"/>
          <w:sz w:val="24"/>
          <w:szCs w:val="24"/>
          <w14:ligatures w14:val="none"/>
        </w:rPr>
        <w:t>：</w:t>
      </w:r>
      <w:r>
        <w:rPr>
          <w:rFonts w:hint="eastAsia" w:ascii="宋体" w:hAnsi="宋体" w:eastAsia="宋体" w:cs="Times New Roman"/>
          <w:kern w:val="0"/>
          <w:sz w:val="24"/>
          <w:szCs w:val="24"/>
          <w:lang w:val="en-US" w:eastAsia="zh-CN" w:bidi="ar-SA"/>
          <w14:ligatures w14:val="none"/>
        </w:rPr>
        <w:t>享受高层次人才健康体检待遇。</w:t>
      </w:r>
    </w:p>
    <w:p>
      <w:pPr>
        <w:widowControl/>
        <w:spacing w:line="360" w:lineRule="atLeast"/>
        <w:ind w:firstLine="480"/>
        <w:jc w:val="left"/>
        <w:rPr>
          <w:rFonts w:hint="eastAsia" w:ascii="宋体" w:hAnsi="宋体" w:eastAsia="宋体" w:cs="Times New Roman"/>
          <w:kern w:val="0"/>
          <w:sz w:val="24"/>
          <w:szCs w:val="24"/>
          <w:lang w:val="en-US" w:eastAsia="zh-CN" w:bidi="ar-SA"/>
          <w14:ligatures w14:val="none"/>
        </w:rPr>
      </w:pPr>
      <w:r>
        <w:rPr>
          <w:rFonts w:hint="eastAsia" w:ascii="宋体" w:hAnsi="宋体" w:eastAsia="宋体" w:cs="宋体"/>
          <w:b/>
          <w:bCs/>
          <w:color w:val="555555"/>
          <w:kern w:val="0"/>
          <w:sz w:val="24"/>
          <w:szCs w:val="24"/>
          <w14:ligatures w14:val="none"/>
        </w:rPr>
        <w:t>8.符合条件者可享受南昌市人才政策：</w:t>
      </w:r>
      <w:r>
        <w:rPr>
          <w:rFonts w:hint="eastAsia" w:ascii="宋体" w:hAnsi="宋体" w:eastAsia="宋体" w:cs="Times New Roman"/>
          <w:kern w:val="0"/>
          <w:sz w:val="24"/>
          <w:szCs w:val="24"/>
          <w:lang w:val="en-US" w:eastAsia="zh-CN" w:bidi="ar-SA"/>
          <w14:ligatures w14:val="none"/>
        </w:rPr>
        <w:t>具体参见南昌新“人才10条”。</w:t>
      </w:r>
    </w:p>
    <w:p>
      <w:pPr>
        <w:widowControl/>
        <w:spacing w:line="360" w:lineRule="atLeast"/>
        <w:ind w:firstLine="480"/>
        <w:jc w:val="left"/>
        <w:rPr>
          <w:rFonts w:hint="eastAsia" w:ascii="宋体" w:hAnsi="宋体" w:eastAsia="宋体" w:cs="Times New Roman"/>
          <w:kern w:val="0"/>
          <w:sz w:val="24"/>
          <w:szCs w:val="24"/>
          <w:lang w:val="en-US" w:eastAsia="zh-CN" w:bidi="ar-SA"/>
          <w14:ligatures w14:val="none"/>
        </w:rPr>
      </w:pPr>
    </w:p>
    <w:p>
      <w:pPr>
        <w:widowControl/>
        <w:spacing w:line="360" w:lineRule="atLeast"/>
        <w:ind w:firstLine="1262" w:firstLineChars="526"/>
        <w:jc w:val="left"/>
        <w:rPr>
          <w:rFonts w:hint="eastAsia" w:ascii="宋体" w:hAnsi="宋体" w:eastAsia="宋体" w:cs="Times New Roman"/>
          <w:kern w:val="0"/>
          <w:sz w:val="24"/>
          <w:szCs w:val="24"/>
          <w:lang w:val="en-US" w:eastAsia="zh-CN" w:bidi="ar-SA"/>
          <w14:ligatures w14:val="none"/>
        </w:rPr>
      </w:pPr>
      <w:bookmarkStart w:id="0" w:name="_GoBack"/>
      <w:bookmarkEnd w:id="0"/>
      <w:r>
        <w:rPr>
          <w:rFonts w:hint="eastAsia" w:ascii="宋体" w:hAnsi="宋体" w:eastAsia="宋体" w:cs="Times New Roman"/>
          <w:kern w:val="0"/>
          <w:sz w:val="24"/>
          <w:szCs w:val="24"/>
          <w:lang w:val="en-US" w:eastAsia="zh-CN" w:bidi="ar-SA"/>
          <w14:ligatures w14:val="none"/>
        </w:rPr>
        <w:drawing>
          <wp:anchor distT="0" distB="0" distL="114300" distR="114300" simplePos="0" relativeHeight="251659264" behindDoc="0" locked="0" layoutInCell="1" allowOverlap="1">
            <wp:simplePos x="0" y="0"/>
            <wp:positionH relativeFrom="margin">
              <wp:align>left</wp:align>
            </wp:positionH>
            <wp:positionV relativeFrom="paragraph">
              <wp:posOffset>207010</wp:posOffset>
            </wp:positionV>
            <wp:extent cx="2352040" cy="3122930"/>
            <wp:effectExtent l="0" t="0" r="0" b="1270"/>
            <wp:wrapSquare wrapText="bothSides"/>
            <wp:docPr id="3038519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51924"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352040" cy="3122930"/>
                    </a:xfrm>
                    <a:prstGeom prst="rect">
                      <a:avLst/>
                    </a:prstGeom>
                    <a:noFill/>
                    <a:ln>
                      <a:noFill/>
                    </a:ln>
                  </pic:spPr>
                </pic:pic>
              </a:graphicData>
            </a:graphic>
          </wp:anchor>
        </w:drawing>
      </w:r>
      <w:r>
        <w:rPr>
          <w:rFonts w:hint="eastAsia" w:ascii="宋体" w:hAnsi="宋体" w:eastAsia="宋体" w:cs="Times New Roman"/>
          <w:kern w:val="0"/>
          <w:sz w:val="24"/>
          <w:szCs w:val="24"/>
          <w:lang w:val="en-US" w:eastAsia="zh-CN" w:bidi="ar-SA"/>
          <w14:ligatures w14:val="none"/>
        </w:rPr>
        <w:t>二〇二三年十二月十八日</w:t>
      </w:r>
    </w:p>
    <w:p>
      <w:pPr>
        <w:widowControl/>
        <w:spacing w:line="360" w:lineRule="atLeast"/>
        <w:ind w:firstLine="480"/>
        <w:jc w:val="left"/>
        <w:rPr>
          <w:rFonts w:hint="eastAsia" w:ascii="宋体" w:hAnsi="宋体" w:eastAsia="宋体" w:cs="Times New Roman"/>
          <w:kern w:val="0"/>
          <w:sz w:val="24"/>
          <w:szCs w:val="24"/>
          <w:lang w:val="en-US" w:eastAsia="zh-CN" w:bidi="ar-SA"/>
          <w14:ligatures w14: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yMmQ5OWJjMjkzNDY1YWU2ZTZlZjdkZmQ2NGY5YjEifQ=="/>
  </w:docVars>
  <w:rsids>
    <w:rsidRoot w:val="007463EF"/>
    <w:rsid w:val="000672C1"/>
    <w:rsid w:val="003F75B9"/>
    <w:rsid w:val="004A2644"/>
    <w:rsid w:val="0053061B"/>
    <w:rsid w:val="005B6864"/>
    <w:rsid w:val="007463EF"/>
    <w:rsid w:val="007A3FE0"/>
    <w:rsid w:val="00956796"/>
    <w:rsid w:val="00AE6984"/>
    <w:rsid w:val="00C61A6C"/>
    <w:rsid w:val="00D0382E"/>
    <w:rsid w:val="66A55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14:ligatures w14:val="none"/>
    </w:rPr>
  </w:style>
  <w:style w:type="character" w:styleId="7">
    <w:name w:val="Strong"/>
    <w:basedOn w:val="6"/>
    <w:qFormat/>
    <w:uiPriority w:val="22"/>
    <w:rPr>
      <w:b/>
      <w:bCs/>
    </w:rPr>
  </w:style>
  <w:style w:type="character" w:customStyle="1" w:styleId="8">
    <w:name w:val="页眉 字符"/>
    <w:basedOn w:val="6"/>
    <w:link w:val="3"/>
    <w:autoRedefine/>
    <w:qFormat/>
    <w:uiPriority w:val="99"/>
    <w:rPr>
      <w:sz w:val="18"/>
      <w:szCs w:val="18"/>
    </w:rPr>
  </w:style>
  <w:style w:type="character" w:customStyle="1" w:styleId="9">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804</Words>
  <Characters>4586</Characters>
  <Lines>38</Lines>
  <Paragraphs>10</Paragraphs>
  <TotalTime>2</TotalTime>
  <ScaleCrop>false</ScaleCrop>
  <LinksUpToDate>false</LinksUpToDate>
  <CharactersWithSpaces>5380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2024-03-12T06:53:00Z</dcterms:created>
  <dc:creator>Lenovo</dc:creator>
  <cp:lastModifiedBy>刘琳</cp:lastModifiedBy>
  <dcterms:modified xsi:type="dcterms:W3CDTF">2024-03-13T09:59:01Z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4FE4B5E6436C455BAC4C9F6C1FC3CF1B_12</vt:lpwstr>
  </property>
</Properties>
</file>